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i w:val="0"/>
          <w:snapToGrid/>
          <w:color w:val="000000"/>
          <w:sz w:val="44"/>
          <w:szCs w:val="44"/>
          <w:lang w:eastAsia="zh-CN"/>
        </w:rPr>
        <w:t>2021全国公益广告大赛奖项设置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一、社会组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1．等级奖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平面类：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一等奖1名，奖金10000元（税前）、颁发证书；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二等奖2名，奖金各5000元（税前）、颁发证书；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三等奖3名，奖金各2000元（税前）、颁发证书；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优秀奖10名，颁发证书。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视频类：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一等奖1名，奖金20000元（税前）、颁发证书；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二等奖2名，奖金各10000元（税前）、颁发证书；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三等奖3名，奖金各5000元（税前）、颁发证书；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优秀奖10名，颁发证书。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2．单项奖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平面类：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最佳创意奖1名，颁发证书。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视频类：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最佳创意奖1名，颁发证书。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二、学生组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1．等级奖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平面类：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一等奖1名，奖金3000元（税前）、颁发证书；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二等奖2名，奖金各1000元（税前）、颁发证书；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三等奖3名，奖金各500元（税前）、颁发证书；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优秀奖10名，颁发证书。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视频类：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一等奖1名，奖金5000元（税前）、颁发证书；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二等奖2名，奖金各3000元（税前）、颁发证书；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三等奖3名，奖金各1000元（税前）、颁发证书；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优秀奖10名，颁发证书。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2．单项奖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平面类：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最佳创意奖1名，颁发证书。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视频类：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最佳创意奖1名，颁发证书。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三、青少年组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最佳创意奖10名，颁发证书。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四、推荐奖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 文明城市推荐奖10名，颁发证书。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 支持单位选送作品中特设推荐奖1名，颁发证书。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五、组织奖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最佳组织奖20名。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712B"/>
    <w:rsid w:val="035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2021-06-02T02:33:00Z</dcterms:created>
  <dc:creator>筑梦余生</dc:creator>
  <cp:lastModifiedBy>筑梦余生</cp:lastModifiedBy>
  <dcterms:modified xsi:type="dcterms:W3CDTF">2021-06-02T02:34:06Z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723A867B6A5342A79435F9C8CCFE874E</vt:lpwstr>
  </property>
</Properties>
</file>